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852AE">
      <w:pPr>
        <w:pStyle w:val="3"/>
        <w:widowControl/>
        <w:spacing w:line="360" w:lineRule="auto"/>
        <w:jc w:val="center"/>
        <w:rPr>
          <w:rFonts w:hint="eastAsia" w:cs="Songti SC Regular" w:asciiTheme="minorEastAsia" w:hAnsiTheme="minorEastAsia"/>
          <w:color w:val="0F1115"/>
          <w:sz w:val="28"/>
          <w:szCs w:val="28"/>
        </w:rPr>
      </w:pPr>
      <w:r>
        <w:rPr>
          <w:rFonts w:hint="eastAsia" w:cs="Songti SC Regular" w:asciiTheme="minorEastAsia" w:hAnsiTheme="minorEastAsia"/>
          <w:b/>
          <w:bCs/>
          <w:color w:val="0F1115"/>
          <w:sz w:val="28"/>
          <w:szCs w:val="28"/>
        </w:rPr>
        <w:t>英国康沃尔（Cornwall）甜甜圈政策及对中国的借鉴</w:t>
      </w:r>
    </w:p>
    <w:p w14:paraId="642DBA75">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英国康沃尔（Cornwall）</w:t>
      </w:r>
      <w:r>
        <w:rPr>
          <w:rFonts w:hint="eastAsia" w:cs="Songti SC Regular" w:asciiTheme="minorEastAsia" w:hAnsiTheme="minorEastAsia"/>
          <w:color w:val="0F1115"/>
          <w:sz w:val="24"/>
          <w:szCs w:val="24"/>
          <w:lang w:val="en-US" w:eastAsia="zh-CN"/>
        </w:rPr>
        <w:t>位于</w:t>
      </w:r>
      <w:r>
        <w:rPr>
          <w:rFonts w:hint="eastAsia" w:cs="Songti SC Regular" w:asciiTheme="minorEastAsia" w:hAnsiTheme="minorEastAsia"/>
          <w:color w:val="0F1115"/>
          <w:sz w:val="24"/>
          <w:szCs w:val="24"/>
        </w:rPr>
        <w:t>英格兰西南部，人口约五十七万，以旅游业和农业为主要经济支柱。该地区是英国第一个采纳“甜甜圈经济学”（Doughnut Economics）概念的地方政府，其将这一抽象理论转化为一套嵌入日常行政决策的“硬工具”，对全球城市可持续发展实践具有重要启示。</w:t>
      </w:r>
    </w:p>
    <w:p w14:paraId="3CAB6CCE">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康沃尔郡议会（Cornwall Council）于二零一九年七月宣布气候紧急状态（Climate Emergency），并承诺到二零三零年实现净零碳（net zero carbon）。与此同时，该地区面临着严重的社会剥夺——有十几个区域位列英国最贫困地区之列（《Towards a sustainable Cornwall: State of the Doughnut》）。为了在应对气候变化的同时保障社会正义，议会于二零一九年九月开始尝试使用经济学家凯特·拉沃斯（Kate Raworth）提出的“甜甜圈经济学”模型，并基于此开发了“康沃尔发展与决策轮”（Cornwall Development and Decision Wheel, 简称CDDW）（《Downscaling doughnut economics for sustainability governance》）。该决策轮是一个议会范围的影响评估工具，用于评估拟议决策或政策的正面和负面影响。决策轮由两部分组成：内轮（inner wheel）聚焦社会与经济议题，包括健康、福祉、教育、技能、住房质量与可负担性、收入与就业、社区凝聚力与社会包容性、交通与数字连接等；外轮（outer wheel）聚焦环境议题，包括温室气体排放与气候韧性、空气质量、水质、生物多样性与自然栖息地保护、废物减量与循环经济、土地利用与土壤健康等（《Cornwall Council Decision Wheel》）。每项决策或项目都针对这些维度进行红-黄-绿（red-amber-green）交通灯评分，得分以可视化图形呈现，帮助决策者识别潜在的正负面影响，并在必要时采取缓解措施。</w:t>
      </w:r>
    </w:p>
    <w:p w14:paraId="4A127B8D">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自二零一九年九月起，康沃尔郡议会的所有内阁决策都必须使用决策轮。到二零二一年，该工具已扩展到所有决策过程，包括预算制定、规划申请、采购决策等（《Local government case study: Cornwall, UK》）。二零二零年十月，康沃尔郡议会与埃克塞特大学（University of Exeter）合作发布了首份《Towards a sustainable Cornwall: State of the Doughnut》，建立了康沃尔的社会与环境基准数据集，涵盖健康、教育、收入、住房、碳排放、生物多样性和空气质量等关键指标。二零二零年十二月，康沃尔和锡利群岛领导委员会（Cornwall and Isles of Scilly Leadership Board）通过了《The Cornwall Plan 2020-2050》，该计划明确采用甜甜圈作为其指导框架，愿景是“确保康沃尔的所有人都能满足其核心需求，同时生活在我们地球的承载能力范围之内”。二零二三年，该计划进行了更新，并开发了“康沃尔计划年度审查仪表板”（Cornwall Plan Annual Review dashboard），以交互式仪表板可视化展示康沃尔在实现各项目标方面的进展（《Local government case study: Cornwall, UK》）。二零二四年初，议会完成了对决策轮使用情况的审查，并根据用户调查结果制定了改进行动计划；同年，还任命了六位“战略召集人”（Strategic Convenors）负责推动六个战略方向的落实（《The Cornwall Plan 2020-2050》；《Local government case study: Cornwall, UK》）。</w:t>
      </w:r>
    </w:p>
    <w:p w14:paraId="358944EA">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康沃尔采用甜甜圈框架主要希望解决两大问题。一方面，社会层面最突出的短板是低工资与就业不稳定。数据显示，二零一九年康沃尔有百分之二十六点八的岗位时薪低于真实生活工资（Real Living Wage），高于英格兰百分之二十点一的平均水平（《Towards a sustainable Cornwall: State of the Doughnut》）。原因在于当地经济高度依赖低附加值的旅游和农业，缺乏大型雇主，且大量就业具有季节性、临时性特征，导致青年外流与人口老龄化。另一方面，生态层面最紧迫的压力是气候紧急状态与生物多样性丧失。康沃尔承诺到二零三零年实现净零碳，但二零一七年该地区总温室气体排放仍达四百零三万吨二氧化碳当量（4,031 ktCO₂e）（《Towards a sustainable Cornwall: State of the Doughnut》）。传统产业对化石能源的依赖，以及四百多英里海岸线对气候变化（海平面上升、风暴加剧）的高度脆弱性，构成了生态压力的深层原因。</w:t>
      </w:r>
    </w:p>
    <w:p w14:paraId="0717CC95">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康沃尔案例最值得注意的特点，是将抽象的甜甜圈理论嵌入地方政府日常决策的“硬工具”——决策轮。这一工具不是虚悬的愿景，而是要求每项重大决策（从预算到基建项目）都必须通过交通灯评分，强制暴露社会目标与生态目标之间的权衡。例如，在评估“圣徒小径”（Saints Trail）步行与骑行项目时，决策轮显示该项目在碳减排（预计每年减少约五万次汽车出行）、空气质量和公众健康方面为正面绿色评级，但在生物多样性方面因施工期间栖息地干扰被评为黄色，提示需要采取缓解措施（《Cornwall Council Decision Wheel》）。另一个典型案例是康沃尔太空港（Spaceport Cornwall）项目：决策轮帮助将碳排放确立为正式考量因素，促使议会委托埃克塞特大学进行排放研究，进而推动了太空港运营商在机场进行大规模能效改进投资。正如《How Cornwall Council uses a simple tool to make decisions》指出，“如果没有决策轮，可能就没有一个正式的机制来识别并减轻该项目的这一弊端”。</w:t>
      </w:r>
    </w:p>
    <w:p w14:paraId="777132A1">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default" w:cs="Songti SC Regular" w:asciiTheme="minorEastAsia" w:hAnsiTheme="minorEastAsia"/>
          <w:color w:val="0F1115"/>
          <w:sz w:val="24"/>
          <w:szCs w:val="24"/>
        </w:rPr>
        <w:t>在“四镜头”（four lenses）结构方面，康沃尔的实践并未严格遵循DEAL方法论中以四镜头绘制“甜甜圈数据画像”的操作路径。但《康沃尔计划2020-2050》及配套的“发展与决策轮”工具，已经在不同程度上涵盖了四个镜头的考量。</w:t>
      </w:r>
    </w:p>
    <w:p w14:paraId="3E798C31">
      <w:pPr>
        <w:pStyle w:val="3"/>
        <w:widowControl/>
        <w:spacing w:line="360" w:lineRule="auto"/>
        <w:ind w:firstLine="420" w:firstLineChars="0"/>
        <w:jc w:val="both"/>
        <w:rPr>
          <w:rFonts w:hint="default" w:cs="Songti SC Regular" w:asciiTheme="minorEastAsia" w:hAnsiTheme="minorEastAsia"/>
          <w:color w:val="0F1115"/>
          <w:sz w:val="24"/>
          <w:szCs w:val="24"/>
        </w:rPr>
      </w:pPr>
      <w:r>
        <w:rPr>
          <w:rFonts w:hint="default" w:cs="Songti SC Regular" w:asciiTheme="minorEastAsia" w:hAnsiTheme="minorEastAsia"/>
          <w:color w:val="0F1115"/>
          <w:sz w:val="24"/>
          <w:szCs w:val="24"/>
        </w:rPr>
        <w:t>本地社会（local social） 主要关注康沃尔居民自身的福祉，是决策轮内轮的核心内容。康沃尔郡议会通过“发展与决策轮”的社会与经济维度来评估每项决策对当地居民的影响，具体包括健康与福祉、教育与技能、住房质量与可负担性、收入与就业、社区凝聚力与社会包容性、交通与数字连接等共计十一个细分领域（《Cornwall Council Decision Wheel》）。每项重大决策必须针对这些领域逐一评分，强制暴露决策对本地居民生活质量的潜在影响。此外，社区种植计划也是本地社会层面的一项重要行动：在2022年举办的“Civic Lantern”工作坊中，四十二名社区代表投票确定了两个短期优先目标，其中第一项是“为每个社区提供土地和支持，以建立可持续的社区种植计划”（《A Civic Lantern to engage civic and civil society in goal-setting for sustainability in Cornwall: A research report》）。该计划的实施直接回应了本地居民的食品获取、社区凝聚和健康福祉等社会基础需求。</w:t>
      </w:r>
    </w:p>
    <w:p w14:paraId="1EC9178E">
      <w:pPr>
        <w:pStyle w:val="3"/>
        <w:widowControl/>
        <w:spacing w:line="360" w:lineRule="auto"/>
        <w:ind w:firstLine="420" w:firstLineChars="0"/>
        <w:jc w:val="both"/>
        <w:rPr>
          <w:rFonts w:hint="default" w:cs="Songti SC Regular" w:asciiTheme="minorEastAsia" w:hAnsiTheme="minorEastAsia"/>
          <w:color w:val="0F1115"/>
          <w:sz w:val="24"/>
          <w:szCs w:val="24"/>
        </w:rPr>
      </w:pPr>
      <w:r>
        <w:rPr>
          <w:rFonts w:hint="default" w:cs="Songti SC Regular" w:asciiTheme="minorEastAsia" w:hAnsiTheme="minorEastAsia"/>
          <w:color w:val="0F1115"/>
          <w:sz w:val="24"/>
          <w:szCs w:val="24"/>
        </w:rPr>
        <w:t>本地生态（local ecological） 聚焦康沃尔自身的环境承载力，是决策轮外轮的核心内容。康沃尔郡议会通过决策轮的环境维度来评估每项决策对本地生态系统的实际影响，具体包括温室气体排放与气候韧性、空气质量、水质与水资源可用性、生物多样性与自然栖息地保护、废物减量与循环经济、土地利用与土壤健康等（《Cornwall Council Decision Wheel》）。议会于二零一九年宣布气候紧急状态（Climate Emergency），并承诺到二零三零年实现净零碳（net zero carbon）（《Local government case study: Cornwall, UK》）。太空港项目就是决策轮在本地生态层面发挥作用的典型案例：决策轮帮助将碳排放确立为正式考量因素，促使议会委托埃克塞特大学进行排放研究，进而推动了太空港运营商在机场进行大规模能效改进投资（《How Cornwall Council uses a simple tool to make decisions》）。</w:t>
      </w:r>
    </w:p>
    <w:p w14:paraId="4DC83DF8">
      <w:pPr>
        <w:pStyle w:val="3"/>
        <w:widowControl/>
        <w:spacing w:line="360" w:lineRule="auto"/>
        <w:ind w:firstLine="420" w:firstLineChars="0"/>
        <w:jc w:val="both"/>
        <w:rPr>
          <w:rFonts w:hint="default" w:cs="Songti SC Regular" w:asciiTheme="minorEastAsia" w:hAnsiTheme="minorEastAsia"/>
          <w:color w:val="0F1115"/>
          <w:sz w:val="24"/>
          <w:szCs w:val="24"/>
        </w:rPr>
      </w:pPr>
      <w:r>
        <w:rPr>
          <w:rFonts w:hint="default" w:cs="Songti SC Regular" w:asciiTheme="minorEastAsia" w:hAnsiTheme="minorEastAsia"/>
          <w:color w:val="0F1115"/>
          <w:sz w:val="24"/>
          <w:szCs w:val="24"/>
        </w:rPr>
        <w:t>全球社会（global social） 主要考察康沃尔是否将社会成本转嫁给其他地区。根据DEAL的方法论指南，全球社会镜头关注的是“一个地方的社会表现是否以牺牲世界上其他地方的社会福祉为代价”（《Doughnut Data Portraits: A Methodological Guide》），例如供应链中的劳工权益、不公平贸易等。康沃尔的相关讨论主要围绕关键矿产开采展开。在讨论本地的锂、锡、钨等矿产开发时，参与者主动提到了全球供应链中的童工问题和劳工保护标准，一位议会官员表示：“在康沃尔以对环境负责的方式开采，比将问题外包到其他地方假装不存在要好”（《Briefing: Cornwall‘s Development and Decision Wheel》）。这表明康沃尔在本地资源开发决策中，已经开始将全球社会正义（如其他地区的劳工待遇）纳入考量，认为本地开采虽然会增加本地生态压力，但可以避免将更严重的社会剥削转嫁给资源出口国。然而，这种讨论更多是原则性的，尚未形成系统性的供应链尽职调查机制。</w:t>
      </w:r>
    </w:p>
    <w:p w14:paraId="7634F47B">
      <w:pPr>
        <w:pStyle w:val="3"/>
        <w:widowControl/>
        <w:spacing w:line="360" w:lineRule="auto"/>
        <w:ind w:firstLine="420" w:firstLineChars="0"/>
        <w:jc w:val="both"/>
        <w:rPr>
          <w:rFonts w:hint="default" w:cs="Songti SC Regular" w:asciiTheme="minorEastAsia" w:hAnsiTheme="minorEastAsia"/>
          <w:color w:val="0F1115"/>
          <w:sz w:val="24"/>
          <w:szCs w:val="24"/>
        </w:rPr>
      </w:pPr>
      <w:r>
        <w:rPr>
          <w:rFonts w:hint="default" w:cs="Songti SC Regular" w:asciiTheme="minorEastAsia" w:hAnsiTheme="minorEastAsia"/>
          <w:color w:val="0F1115"/>
          <w:sz w:val="24"/>
          <w:szCs w:val="24"/>
        </w:rPr>
        <w:t>全球生态（global ecological） 主要考察康沃尔是否将生态成本转嫁给其他地区。根据DEAL的方法论指南，全球生态镜头关注的是“一个地方的资源消耗和污染排放是否以牺牲其他地方的环境质量为代价”（《Doughnut Data Portraits: A Methodological Guide》），例如进口商品的隐含碳排放、跨境废弃物转移、全球供应链对生物多样性的影响等。康沃尔的相关讨论集中在“负担分担”和“跨尺度目标一致性”问题上。《Downscaling doughnut economics for sustainability governance》明确指出，康沃尔是否需要为其进口商品（如食品、电子产品）中所蕴含的碳排放负责？如果计入，该地区</w:t>
      </w:r>
      <w:bookmarkStart w:id="0" w:name="_GoBack"/>
      <w:bookmarkEnd w:id="0"/>
      <w:r>
        <w:rPr>
          <w:rFonts w:hint="default" w:cs="Songti SC Regular" w:asciiTheme="minorEastAsia" w:hAnsiTheme="minorEastAsia"/>
          <w:color w:val="0F1115"/>
          <w:sz w:val="24"/>
          <w:szCs w:val="24"/>
        </w:rPr>
        <w:t>的碳足迹将远大于其领土排放量，许多政策将需要改变。这一讨论触及了甜甜圈框架中“全球生态”镜头的核心：一个地方政府是否应当承担其消费活动在别处产生的生态足迹责任。但康沃尔在实践中尚未将这类全球生态成本纳入决策轮的正式评估体系中。</w:t>
      </w:r>
    </w:p>
    <w:p w14:paraId="549E6C68">
      <w:pPr>
        <w:pStyle w:val="3"/>
        <w:widowControl/>
        <w:spacing w:line="360" w:lineRule="auto"/>
        <w:ind w:firstLine="420" w:firstLineChars="0"/>
        <w:jc w:val="both"/>
        <w:rPr>
          <w:rFonts w:hint="default" w:cs="Songti SC Regular" w:asciiTheme="minorEastAsia" w:hAnsiTheme="minorEastAsia"/>
          <w:color w:val="0F1115"/>
          <w:sz w:val="24"/>
          <w:szCs w:val="24"/>
        </w:rPr>
      </w:pPr>
      <w:r>
        <w:rPr>
          <w:rFonts w:hint="default" w:cs="Songti SC Regular" w:asciiTheme="minorEastAsia" w:hAnsiTheme="minorEastAsia"/>
          <w:color w:val="0F1115"/>
          <w:sz w:val="24"/>
          <w:szCs w:val="24"/>
        </w:rPr>
        <w:t>总体来看，康沃尔在决策轮的日常应用中，本地社会和本地生态两个镜头的制度化程度最高。全球社会和全球生态镜头的考量则散见于学术讨论、矿产开发辩论等场景中，尚未成为官方决策流程的强制评估项。这与康沃尔将其甜甜圈实践定位于地方政府层级、未能获得更高层级政治授权有关——正如《Downscaling doughnut economics for sustainability governance》所指出的，跨尺度的目标一致性需要国家层面的政策协调，而地方政府在规划等重要领域受到国家层面政策的约束，难以单方面对进口商品的隐含碳足迹或供应链劳工问题做出系统性政策回应。</w:t>
      </w:r>
    </w:p>
    <w:p w14:paraId="1A344202">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康沃尔案例对中国城市研究具有重要的借鉴价值。首先，在工具化与制度化方面，康沃尔郡议会将“甜甜圈经济学”这一宏观理论转化为可嵌入日常行政流程的“发展与决策轮”，要求每一项重大决策都必须通过红-黄-绿交通灯评分，强制暴露社会目标与生态目标之间的权衡。这种将可持续发展多目标转化为可操作、可问责的评估流程的做法，对于中国城市在推行“碳达峰、碳中和”目标或“高质量发展”战略时，具有直接的参考意义。当前，中国许多城市在项目立项和政策制定中，虽然也有环境影响评价、社会稳定风险评估等单项工具，但缺乏一个能够同时涵盖社会公平、生态承载、经济增长等多维度的综合评估框架。康沃尔的决策轮提供了一种“低成本、可视化、跨部门”的解决方案。中国城市可以借鉴其“红黄绿”评分逻辑，开发适用于本地行政体系的“项目可持续性评估表”，将就业质量、收入分配、住房可负担性、碳排放、生物多样性、空气质量等关键指标纳入统一的评分体系，并在重大项目报送发展和改革委员会（Development and Reform Commission）、生态环境部门、民政部门联合审批时作为前置材料。这种做法有助于打破部门之间的“信息孤岛”，将可持续发展目标从抽象口号转化为每一级决策者都能看见的“红绿灯”。</w:t>
      </w:r>
    </w:p>
    <w:p w14:paraId="7F7F3193">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其次，在社会-生态协同治理方面，康沃尔案例突出强调了在减碳的同时不加剧社会不平等。康沃尔通过采购和拨款条件强制推行真实生活工资，并支持社区种植计划以应对食品贫困。数据显示，康沃尔有超过四分之一岗位的时薪低于真实生活工资（《Towards a sustainable Cornwall: State of the Doughnut》）。这表明，单纯追求碳减排目标可能会忽略低收入群体的生计压力。中国城市在能源转型、产业升级和“双碳”行动中，同样需要关注对传统行业从业者、城市低收入居民以及农村人口的影响。例如，关闭高耗能工厂可能导致大量工人失业，提高机动车排放标准可能增加低端运输成本进而推高物价。康沃尔的实践提示我们，应当在政策设计之初就纳入“公正转型”（just transition）的考量，通过再培训计划、社会保障兜底、社区支持农业等方式，缓冲绿色政策对弱势群体的冲击。中国城市可以借鉴康沃尔的做法，在制定碳达峰方案时配套编制“社会影响缓解计划”，明确列出受影响的群体、补偿措施和替代就业渠道，并将这些内容纳入项目可持续性评估表中，做到“一策双评”——既评环境影响，也评社会公平。</w:t>
      </w:r>
    </w:p>
    <w:p w14:paraId="39E66C1A">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第三，在公众参与方面，康沃尔通过“Civic Lantern”工作坊让四十二名社区代表投票确定了包括“为每个社区提供土地用于可持续种植计划”在内的短期优先目标（《Towards a sustainable Cornwall: State of the Doughnut》）。这表明，将决策权部分下放给基层社区，不仅能够提高政策的接受度，还能够发现自上而下决策中容易被忽视的本地需求。中国城市可以结合本地已有的民主实践形式，如居民议事厅（Residents‘ Deliberation Hall）、人大代表联络站（Liaison Office of People’s Congress Deputies）、协商议事会等，增加社区层面的目标共商环节。具体操作上，可以在编制城市可持续发展规划或绿色社区改造方案时，先通过线上问卷和线下议事会收集居民最关心的社会与环境问题，然后由社区代表投票确定优先行动清单，最后将清单纳入政府年度工作计划。这种做法有助于避免“政府做的不是群众想要的”脱节现象，提升政策的精准度和可持续性。</w:t>
      </w:r>
    </w:p>
    <w:p w14:paraId="25A04888">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当然，将康沃尔经验直接移植到中国城市需要做必要的本土化调整。第一，在指标权重方面，许多中国城市仍处于需要解决就业和经济增长的发展阶段，不能照搬康沃尔的“增长不可知论”（growth agnosticism），但可以借鉴其“权衡可视化”方法，明确记录每项决策在社会、经济、环境三个维度上的得失。例如，一个工业项目可能带来高碳排放和空气污染，但同时也创造大量就业和税收。决策轮不会自动否决该项目，而是强制要求决策者看到这些得失，并书面说明为什么选择接受负面生态影响来换取社会经济效益，或者反过来。这种方法不预设“增长优先”还是“生态优先”，而是要求“公开权衡”。第二，在行政适配方面，康沃尔的决策轮嵌入内阁决策，依赖地方自治和跨部门协作；中国的城市治理更强调顶层设计和条块管理，可将该工具改造为“政策影响预审模块”，融入重大项目立项前的可行性研究或环境影响评价程序中，并由发展和改革委员会（Development and Reform Commission）、生态环境部门、民政部门联合使用。联合使用时，可以设计一张统一的评分表，各部门分别给本领域指标打分，最后由一个牵头部门（例如发展和改革委员会）汇总并提交给政府常务会议讨论。这样既保持了现有审批流程的框架，又增加了多维度评估的内容。第三，在数据支撑方面，康沃尔在建立甜甜圈基线时遇到了数据不足的问题，许多国家数据集在地方层面不可用（《Downscaling doughnut economics for sustainability governance》）。中国城市可以发挥政府数据整合的优势，由统计部门牵头，汇集各委办局的现有数据（如统计年鉴、环境监测数据、社保数据等），先快速搭建一个“能看大概方向”的简化版甜甜圈，再逐步完善。不需要等到所有指标都完美了才开始行动，可以从最容易获取数据的五到六个核心指标（如人均收入、空气质量优良天数、单位GDP能耗等）做起，每年更新一次，逐年扩充。</w:t>
      </w:r>
    </w:p>
    <w:p w14:paraId="31997275">
      <w:pPr>
        <w:pStyle w:val="3"/>
        <w:widowControl/>
        <w:spacing w:line="360" w:lineRule="auto"/>
        <w:ind w:firstLine="420" w:firstLineChars="0"/>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综上所述，康沃尔的甜甜圈城市实践提供了一个将抽象可持续理论转化为具体行政工具的有益范例。尽管中英两国在政治体制、发展阶段和治理文化上存在显著差异，但其“工具化、权衡可视化、社会-生态协同”的核心理念，以及“从数据不足处起步、从社区参与中找方向”的务实路径，对于正在探索高质量发展路径的中国城市具有重要的参考价值。</w:t>
      </w:r>
    </w:p>
    <w:p w14:paraId="51E36D60">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pict>
          <v:rect id="_x0000_i1025" o:spt="1" style="height:1.5pt;width:432pt;" fillcolor="#A0A0A0" filled="t" stroked="f" coordsize="21600,21600" o:hr="t" o:hrstd="t">
            <v:path/>
            <v:fill on="t" focussize="0,0"/>
            <v:stroke on="f"/>
            <v:imagedata o:title=""/>
            <o:lock v:ext="edit"/>
            <w10:wrap type="none"/>
            <w10:anchorlock/>
          </v:rect>
        </w:pict>
      </w:r>
    </w:p>
    <w:p w14:paraId="7EF89B28">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参考文献</w:t>
      </w:r>
    </w:p>
    <w:p w14:paraId="72525C20">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《The Cornwall Plan 2020 - 2050 | Together We Can》（Cornwall Council, 2020）。网址：</w:t>
      </w:r>
      <w:r>
        <w:rPr>
          <w:rFonts w:hint="eastAsia" w:cs="Songti SC Regular" w:asciiTheme="minorEastAsia" w:hAnsiTheme="minorEastAsia"/>
          <w:color w:val="0F1115"/>
          <w:sz w:val="24"/>
          <w:szCs w:val="24"/>
        </w:rPr>
        <w:fldChar w:fldCharType="begin"/>
      </w:r>
      <w:r>
        <w:rPr>
          <w:rFonts w:hint="eastAsia" w:cs="Songti SC Regular" w:asciiTheme="minorEastAsia" w:hAnsiTheme="minorEastAsia"/>
          <w:color w:val="0F1115"/>
          <w:sz w:val="24"/>
          <w:szCs w:val="24"/>
        </w:rPr>
        <w:instrText xml:space="preserve"> HYPERLINK "https://letstalk.cornwall.gov.uk/cornwall-plan" \t "/Users/yuzile/Documents\\x/_blank" </w:instrText>
      </w:r>
      <w:r>
        <w:rPr>
          <w:rFonts w:hint="eastAsia" w:cs="Songti SC Regular" w:asciiTheme="minorEastAsia" w:hAnsiTheme="minorEastAsia"/>
          <w:color w:val="0F1115"/>
          <w:sz w:val="24"/>
          <w:szCs w:val="24"/>
        </w:rPr>
        <w:fldChar w:fldCharType="separate"/>
      </w:r>
      <w:r>
        <w:rPr>
          <w:rFonts w:hint="eastAsia" w:cs="Songti SC Regular" w:asciiTheme="minorEastAsia" w:hAnsiTheme="minorEastAsia"/>
          <w:color w:val="0F1115"/>
          <w:sz w:val="24"/>
          <w:szCs w:val="24"/>
        </w:rPr>
        <w:t>https://letstalk.cornwall.gov.uk/cornwall-plan</w:t>
      </w:r>
      <w:r>
        <w:rPr>
          <w:rFonts w:hint="eastAsia" w:cs="Songti SC Regular" w:asciiTheme="minorEastAsia" w:hAnsiTheme="minorEastAsia"/>
          <w:color w:val="0F1115"/>
          <w:sz w:val="24"/>
          <w:szCs w:val="24"/>
        </w:rPr>
        <w:fldChar w:fldCharType="end"/>
      </w:r>
    </w:p>
    <w:p w14:paraId="70A13B60">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《The Cornwall Doughnut Hack》（Cornwall Doughnut Collective &amp; Brookman, 2020）。网址：</w:t>
      </w:r>
      <w:r>
        <w:rPr>
          <w:rFonts w:hint="eastAsia" w:cs="Songti SC Regular" w:asciiTheme="minorEastAsia" w:hAnsiTheme="minorEastAsia"/>
          <w:color w:val="0F1115"/>
          <w:sz w:val="24"/>
          <w:szCs w:val="24"/>
        </w:rPr>
        <w:fldChar w:fldCharType="begin"/>
      </w:r>
      <w:r>
        <w:rPr>
          <w:rFonts w:hint="eastAsia" w:cs="Songti SC Regular" w:asciiTheme="minorEastAsia" w:hAnsiTheme="minorEastAsia"/>
          <w:color w:val="0F1115"/>
          <w:sz w:val="24"/>
          <w:szCs w:val="24"/>
        </w:rPr>
        <w:instrText xml:space="preserve"> HYPERLINK "https://doughnuteconomics.org/stories/the-cornwall-doughnut-hack" \t "/Users/yuzile/Documents\\x/_blank" </w:instrText>
      </w:r>
      <w:r>
        <w:rPr>
          <w:rFonts w:hint="eastAsia" w:cs="Songti SC Regular" w:asciiTheme="minorEastAsia" w:hAnsiTheme="minorEastAsia"/>
          <w:color w:val="0F1115"/>
          <w:sz w:val="24"/>
          <w:szCs w:val="24"/>
        </w:rPr>
        <w:fldChar w:fldCharType="separate"/>
      </w:r>
      <w:r>
        <w:rPr>
          <w:rFonts w:hint="eastAsia" w:cs="Songti SC Regular" w:asciiTheme="minorEastAsia" w:hAnsiTheme="minorEastAsia"/>
          <w:color w:val="0F1115"/>
          <w:sz w:val="24"/>
          <w:szCs w:val="24"/>
        </w:rPr>
        <w:t>https://doughnuteconomics.org/stories/the-cornwall-doughnut-hack</w:t>
      </w:r>
      <w:r>
        <w:rPr>
          <w:rFonts w:hint="eastAsia" w:cs="Songti SC Regular" w:asciiTheme="minorEastAsia" w:hAnsiTheme="minorEastAsia"/>
          <w:color w:val="0F1115"/>
          <w:sz w:val="24"/>
          <w:szCs w:val="24"/>
        </w:rPr>
        <w:fldChar w:fldCharType="end"/>
      </w:r>
    </w:p>
    <w:p w14:paraId="6FDB2C11">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《Briefing: Cornwall‘s Development and Decision Wheel: An innovative approach to decision making》（Cox &amp; Harrison, 2025）。网址：</w:t>
      </w:r>
      <w:r>
        <w:rPr>
          <w:rFonts w:hint="eastAsia" w:cs="Songti SC Regular" w:asciiTheme="minorEastAsia" w:hAnsiTheme="minorEastAsia"/>
          <w:color w:val="0F1115"/>
          <w:sz w:val="24"/>
          <w:szCs w:val="24"/>
        </w:rPr>
        <w:fldChar w:fldCharType="begin"/>
      </w:r>
      <w:r>
        <w:rPr>
          <w:rFonts w:hint="eastAsia" w:cs="Songti SC Regular" w:asciiTheme="minorEastAsia" w:hAnsiTheme="minorEastAsia"/>
          <w:color w:val="0F1115"/>
          <w:sz w:val="24"/>
          <w:szCs w:val="24"/>
        </w:rPr>
        <w:instrText xml:space="preserve"> HYPERLINK "https://lgiu.org/wp-content/uploads/2025/05/LGIU_cornwall-development-and-decision-wheel-an-innovative-approach-to-decision-making.pdf" \t "/Users/yuzile/Documents\\x/_blank" </w:instrText>
      </w:r>
      <w:r>
        <w:rPr>
          <w:rFonts w:hint="eastAsia" w:cs="Songti SC Regular" w:asciiTheme="minorEastAsia" w:hAnsiTheme="minorEastAsia"/>
          <w:color w:val="0F1115"/>
          <w:sz w:val="24"/>
          <w:szCs w:val="24"/>
        </w:rPr>
        <w:fldChar w:fldCharType="separate"/>
      </w:r>
      <w:r>
        <w:rPr>
          <w:rFonts w:hint="eastAsia" w:cs="Songti SC Regular" w:asciiTheme="minorEastAsia" w:hAnsiTheme="minorEastAsia"/>
          <w:color w:val="0F1115"/>
          <w:sz w:val="24"/>
          <w:szCs w:val="24"/>
        </w:rPr>
        <w:t>https://lgiu.org/wp-content/uploads/2025/05/LGIU_cornwall-development-and-decision-wheel-an-innovative-approach-to-decision-making.pdf</w:t>
      </w:r>
      <w:r>
        <w:rPr>
          <w:rFonts w:hint="eastAsia" w:cs="Songti SC Regular" w:asciiTheme="minorEastAsia" w:hAnsiTheme="minorEastAsia"/>
          <w:color w:val="0F1115"/>
          <w:sz w:val="24"/>
          <w:szCs w:val="24"/>
        </w:rPr>
        <w:fldChar w:fldCharType="end"/>
      </w:r>
    </w:p>
    <w:p w14:paraId="796F70BC">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《Local government case study: Cornwall, UK》（Cox &amp; Williamson, 2024）。网址：</w:t>
      </w:r>
      <w:r>
        <w:rPr>
          <w:rFonts w:hint="eastAsia" w:cs="Songti SC Regular" w:asciiTheme="minorEastAsia" w:hAnsiTheme="minorEastAsia"/>
          <w:color w:val="0F1115"/>
          <w:sz w:val="24"/>
          <w:szCs w:val="24"/>
        </w:rPr>
        <w:fldChar w:fldCharType="begin"/>
      </w:r>
      <w:r>
        <w:rPr>
          <w:rFonts w:hint="eastAsia" w:cs="Songti SC Regular" w:asciiTheme="minorEastAsia" w:hAnsiTheme="minorEastAsia"/>
          <w:color w:val="0F1115"/>
          <w:sz w:val="24"/>
          <w:szCs w:val="24"/>
        </w:rPr>
        <w:instrText xml:space="preserve"> HYPERLINK "https://doughnuteconomics.org/stories/local-government-case-study-cornwall-uk" \t "/Users/yuzile/Documents\\x/_blank" </w:instrText>
      </w:r>
      <w:r>
        <w:rPr>
          <w:rFonts w:hint="eastAsia" w:cs="Songti SC Regular" w:asciiTheme="minorEastAsia" w:hAnsiTheme="minorEastAsia"/>
          <w:color w:val="0F1115"/>
          <w:sz w:val="24"/>
          <w:szCs w:val="24"/>
        </w:rPr>
        <w:fldChar w:fldCharType="separate"/>
      </w:r>
      <w:r>
        <w:rPr>
          <w:rFonts w:hint="eastAsia" w:cs="Songti SC Regular" w:asciiTheme="minorEastAsia" w:hAnsiTheme="minorEastAsia"/>
          <w:color w:val="0F1115"/>
          <w:sz w:val="24"/>
          <w:szCs w:val="24"/>
        </w:rPr>
        <w:t>https://doughnuteconomics.org/stories/local-government-case-study-cornwall-uk</w:t>
      </w:r>
      <w:r>
        <w:rPr>
          <w:rFonts w:hint="eastAsia" w:cs="Songti SC Regular" w:asciiTheme="minorEastAsia" w:hAnsiTheme="minorEastAsia"/>
          <w:color w:val="0F1115"/>
          <w:sz w:val="24"/>
          <w:szCs w:val="24"/>
        </w:rPr>
        <w:fldChar w:fldCharType="end"/>
      </w:r>
    </w:p>
    <w:p w14:paraId="1040E24E">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《How Cornwall Council uses a simple tool to make decisions》（Friends of the Earth, 2024）。网址：</w:t>
      </w:r>
      <w:r>
        <w:rPr>
          <w:rFonts w:hint="eastAsia" w:cs="Songti SC Regular" w:asciiTheme="minorEastAsia" w:hAnsiTheme="minorEastAsia"/>
          <w:color w:val="0F1115"/>
          <w:sz w:val="24"/>
          <w:szCs w:val="24"/>
        </w:rPr>
        <w:fldChar w:fldCharType="begin"/>
      </w:r>
      <w:r>
        <w:rPr>
          <w:rFonts w:hint="eastAsia" w:cs="Songti SC Regular" w:asciiTheme="minorEastAsia" w:hAnsiTheme="minorEastAsia"/>
          <w:color w:val="0F1115"/>
          <w:sz w:val="24"/>
          <w:szCs w:val="24"/>
        </w:rPr>
        <w:instrText xml:space="preserve"> HYPERLINK "https://groups.friendsoftheearth.uk/climate-action/how-cornwall-council-uses-simple-tool-make-decisions" \t "/Users/yuzile/Documents\\x/_blank" </w:instrText>
      </w:r>
      <w:r>
        <w:rPr>
          <w:rFonts w:hint="eastAsia" w:cs="Songti SC Regular" w:asciiTheme="minorEastAsia" w:hAnsiTheme="minorEastAsia"/>
          <w:color w:val="0F1115"/>
          <w:sz w:val="24"/>
          <w:szCs w:val="24"/>
        </w:rPr>
        <w:fldChar w:fldCharType="separate"/>
      </w:r>
      <w:r>
        <w:rPr>
          <w:rFonts w:hint="eastAsia" w:cs="Songti SC Regular" w:asciiTheme="minorEastAsia" w:hAnsiTheme="minorEastAsia"/>
          <w:color w:val="0F1115"/>
          <w:sz w:val="24"/>
          <w:szCs w:val="24"/>
        </w:rPr>
        <w:t>https://groups.friendsoftheearth.uk/climate-action/how-cornwall-council-uses-simple-tool-make-decisions</w:t>
      </w:r>
      <w:r>
        <w:rPr>
          <w:rFonts w:hint="eastAsia" w:cs="Songti SC Regular" w:asciiTheme="minorEastAsia" w:hAnsiTheme="minorEastAsia"/>
          <w:color w:val="0F1115"/>
          <w:sz w:val="24"/>
          <w:szCs w:val="24"/>
        </w:rPr>
        <w:fldChar w:fldCharType="end"/>
      </w:r>
    </w:p>
    <w:p w14:paraId="585C9242">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《Cornwall Council Decision Wheel》（Hannaford, 2020）。网址：</w:t>
      </w:r>
      <w:r>
        <w:rPr>
          <w:rFonts w:hint="eastAsia" w:cs="Songti SC Regular" w:asciiTheme="minorEastAsia" w:hAnsiTheme="minorEastAsia"/>
          <w:color w:val="0F1115"/>
          <w:sz w:val="24"/>
          <w:szCs w:val="24"/>
        </w:rPr>
        <w:fldChar w:fldCharType="begin"/>
      </w:r>
      <w:r>
        <w:rPr>
          <w:rFonts w:hint="eastAsia" w:cs="Songti SC Regular" w:asciiTheme="minorEastAsia" w:hAnsiTheme="minorEastAsia"/>
          <w:color w:val="0F1115"/>
          <w:sz w:val="24"/>
          <w:szCs w:val="24"/>
        </w:rPr>
        <w:instrText xml:space="preserve"> HYPERLINK "https://www.uk100.org/knowledge-hub/cornwall-council-decision-wheel" \t "/Users/yuzile/Documents\\x/_blank" </w:instrText>
      </w:r>
      <w:r>
        <w:rPr>
          <w:rFonts w:hint="eastAsia" w:cs="Songti SC Regular" w:asciiTheme="minorEastAsia" w:hAnsiTheme="minorEastAsia"/>
          <w:color w:val="0F1115"/>
          <w:sz w:val="24"/>
          <w:szCs w:val="24"/>
        </w:rPr>
        <w:fldChar w:fldCharType="separate"/>
      </w:r>
      <w:r>
        <w:rPr>
          <w:rFonts w:hint="eastAsia" w:cs="Songti SC Regular" w:asciiTheme="minorEastAsia" w:hAnsiTheme="minorEastAsia"/>
          <w:color w:val="0F1115"/>
          <w:sz w:val="24"/>
          <w:szCs w:val="24"/>
        </w:rPr>
        <w:t>https://www.uk100.org/knowledge-hub/cornwall-council-decision-wheel</w:t>
      </w:r>
      <w:r>
        <w:rPr>
          <w:rFonts w:hint="eastAsia" w:cs="Songti SC Regular" w:asciiTheme="minorEastAsia" w:hAnsiTheme="minorEastAsia"/>
          <w:color w:val="0F1115"/>
          <w:sz w:val="24"/>
          <w:szCs w:val="24"/>
        </w:rPr>
        <w:fldChar w:fldCharType="end"/>
      </w:r>
    </w:p>
    <w:p w14:paraId="133251E0">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《Cornwall Council: Doughnut economics in council decision making – revisiting》（Local Government Association, 2022）。网址：</w:t>
      </w:r>
      <w:r>
        <w:rPr>
          <w:rFonts w:hint="eastAsia" w:cs="Songti SC Regular" w:asciiTheme="minorEastAsia" w:hAnsiTheme="minorEastAsia"/>
          <w:color w:val="0F1115"/>
          <w:sz w:val="24"/>
          <w:szCs w:val="24"/>
        </w:rPr>
        <w:fldChar w:fldCharType="begin"/>
      </w:r>
      <w:r>
        <w:rPr>
          <w:rFonts w:hint="eastAsia" w:cs="Songti SC Regular" w:asciiTheme="minorEastAsia" w:hAnsiTheme="minorEastAsia"/>
          <w:color w:val="0F1115"/>
          <w:sz w:val="24"/>
          <w:szCs w:val="24"/>
        </w:rPr>
        <w:instrText xml:space="preserve"> HYPERLINK "https://www.local.gov.uk/case-studies/cornwall-council-doughnut-economics" \t "/Users/yuzile/Documents\\x/_blank" </w:instrText>
      </w:r>
      <w:r>
        <w:rPr>
          <w:rFonts w:hint="eastAsia" w:cs="Songti SC Regular" w:asciiTheme="minorEastAsia" w:hAnsiTheme="minorEastAsia"/>
          <w:color w:val="0F1115"/>
          <w:sz w:val="24"/>
          <w:szCs w:val="24"/>
        </w:rPr>
        <w:fldChar w:fldCharType="separate"/>
      </w:r>
      <w:r>
        <w:rPr>
          <w:rFonts w:hint="eastAsia" w:cs="Songti SC Regular" w:asciiTheme="minorEastAsia" w:hAnsiTheme="minorEastAsia"/>
          <w:color w:val="0F1115"/>
          <w:sz w:val="24"/>
          <w:szCs w:val="24"/>
        </w:rPr>
        <w:t>https://www.local.gov.uk/case-studies/cornwall-council-doughnut-economics</w:t>
      </w:r>
      <w:r>
        <w:rPr>
          <w:rFonts w:hint="eastAsia" w:cs="Songti SC Regular" w:asciiTheme="minorEastAsia" w:hAnsiTheme="minorEastAsia"/>
          <w:color w:val="0F1115"/>
          <w:sz w:val="24"/>
          <w:szCs w:val="24"/>
        </w:rPr>
        <w:fldChar w:fldCharType="end"/>
      </w:r>
    </w:p>
    <w:p w14:paraId="73C39C78">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《Towards a sustainable Cornwall: State of the Doughnut》（Turner, R. et al., 2020）。网址：</w:t>
      </w:r>
      <w:r>
        <w:rPr>
          <w:rFonts w:hint="eastAsia" w:cs="Songti SC Regular" w:asciiTheme="minorEastAsia" w:hAnsiTheme="minorEastAsia"/>
          <w:color w:val="0F1115"/>
          <w:sz w:val="24"/>
          <w:szCs w:val="24"/>
        </w:rPr>
        <w:fldChar w:fldCharType="begin"/>
      </w:r>
      <w:r>
        <w:rPr>
          <w:rFonts w:hint="eastAsia" w:cs="Songti SC Regular" w:asciiTheme="minorEastAsia" w:hAnsiTheme="minorEastAsia"/>
          <w:color w:val="0F1115"/>
          <w:sz w:val="24"/>
          <w:szCs w:val="24"/>
        </w:rPr>
        <w:instrText xml:space="preserve"> HYPERLINK "https://www.exeter.ac.uk/research/institutes/esi/research/impact-towardsasustainablecornwall/" \t "/Users/yuzile/Documents\\x/_blank" </w:instrText>
      </w:r>
      <w:r>
        <w:rPr>
          <w:rFonts w:hint="eastAsia" w:cs="Songti SC Regular" w:asciiTheme="minorEastAsia" w:hAnsiTheme="minorEastAsia"/>
          <w:color w:val="0F1115"/>
          <w:sz w:val="24"/>
          <w:szCs w:val="24"/>
        </w:rPr>
        <w:fldChar w:fldCharType="separate"/>
      </w:r>
      <w:r>
        <w:rPr>
          <w:rFonts w:hint="eastAsia" w:cs="Songti SC Regular" w:asciiTheme="minorEastAsia" w:hAnsiTheme="minorEastAsia"/>
          <w:color w:val="0F1115"/>
          <w:sz w:val="24"/>
          <w:szCs w:val="24"/>
        </w:rPr>
        <w:t>https://www.exeter.ac.uk/research/institutes/esi/research/impact-towardsasustainablecornwall/</w:t>
      </w:r>
      <w:r>
        <w:rPr>
          <w:rFonts w:hint="eastAsia" w:cs="Songti SC Regular" w:asciiTheme="minorEastAsia" w:hAnsiTheme="minorEastAsia"/>
          <w:color w:val="0F1115"/>
          <w:sz w:val="24"/>
          <w:szCs w:val="24"/>
        </w:rPr>
        <w:fldChar w:fldCharType="end"/>
      </w:r>
    </w:p>
    <w:p w14:paraId="2EEF20AB">
      <w:pPr>
        <w:pStyle w:val="3"/>
        <w:widowControl/>
        <w:spacing w:line="360" w:lineRule="auto"/>
        <w:jc w:val="both"/>
        <w:rPr>
          <w:rFonts w:hint="eastAsia" w:cs="Songti SC Regular" w:asciiTheme="minorEastAsia" w:hAnsiTheme="minorEastAsia"/>
          <w:color w:val="0F1115"/>
          <w:sz w:val="24"/>
          <w:szCs w:val="24"/>
        </w:rPr>
      </w:pPr>
      <w:r>
        <w:rPr>
          <w:rFonts w:hint="eastAsia" w:cs="Songti SC Regular" w:asciiTheme="minorEastAsia" w:hAnsiTheme="minorEastAsia"/>
          <w:color w:val="0F1115"/>
          <w:sz w:val="24"/>
          <w:szCs w:val="24"/>
        </w:rPr>
        <w:t>《Downscaling doughnut economics for sustainability governance》（Turner, R. A. &amp; Wills, J., 2022）。网址：</w:t>
      </w:r>
      <w:r>
        <w:rPr>
          <w:rFonts w:hint="eastAsia" w:cs="Songti SC Regular" w:asciiTheme="minorEastAsia" w:hAnsiTheme="minorEastAsia"/>
          <w:color w:val="0F1115"/>
          <w:sz w:val="24"/>
          <w:szCs w:val="24"/>
        </w:rPr>
        <w:fldChar w:fldCharType="begin"/>
      </w:r>
      <w:r>
        <w:rPr>
          <w:rFonts w:hint="eastAsia" w:cs="Songti SC Regular" w:asciiTheme="minorEastAsia" w:hAnsiTheme="minorEastAsia"/>
          <w:color w:val="0F1115"/>
          <w:sz w:val="24"/>
          <w:szCs w:val="24"/>
        </w:rPr>
        <w:instrText xml:space="preserve"> HYPERLINK "https://doi.org/10.1016/j.cosust.2022.101180" \t "/Users/yuzile/Documents\\x/_blank" </w:instrText>
      </w:r>
      <w:r>
        <w:rPr>
          <w:rFonts w:hint="eastAsia" w:cs="Songti SC Regular" w:asciiTheme="minorEastAsia" w:hAnsiTheme="minorEastAsia"/>
          <w:color w:val="0F1115"/>
          <w:sz w:val="24"/>
          <w:szCs w:val="24"/>
        </w:rPr>
        <w:fldChar w:fldCharType="separate"/>
      </w:r>
      <w:r>
        <w:rPr>
          <w:rFonts w:hint="eastAsia" w:cs="Songti SC Regular" w:asciiTheme="minorEastAsia" w:hAnsiTheme="minorEastAsia"/>
          <w:color w:val="0F1115"/>
          <w:sz w:val="24"/>
          <w:szCs w:val="24"/>
        </w:rPr>
        <w:t>https://doi.org/10.1016/j.cosust.2022.101180</w:t>
      </w:r>
      <w:r>
        <w:rPr>
          <w:rFonts w:hint="eastAsia" w:cs="Songti SC Regular" w:asciiTheme="minorEastAsia" w:hAnsiTheme="minorEastAsia"/>
          <w:color w:val="0F1115"/>
          <w:sz w:val="24"/>
          <w:szCs w:val="24"/>
        </w:rPr>
        <w:fldChar w:fldCharType="end"/>
      </w:r>
    </w:p>
    <w:p w14:paraId="362EE648">
      <w:pPr>
        <w:pStyle w:val="3"/>
        <w:widowControl/>
        <w:spacing w:line="360" w:lineRule="auto"/>
        <w:jc w:val="both"/>
        <w:rPr>
          <w:rFonts w:hint="eastAsia" w:cs="Songti SC Regular" w:asciiTheme="minorEastAsia" w:hAnsiTheme="minorEastAsia"/>
          <w:color w:val="0F1115"/>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Songti SC Regular">
    <w:panose1 w:val="02010800040101010101"/>
    <w:charset w:val="86"/>
    <w:family w:val="auto"/>
    <w:pitch w:val="default"/>
    <w:sig w:usb0="00000001" w:usb1="080F0000" w:usb2="00000000"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FEF7FA"/>
    <w:rsid w:val="7AFEF7FA"/>
    <w:rsid w:val="AFD6A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2026-05-15T19:32:00Z</dcterms:created>
  <dc:creator>。</dc:creator>
  <cp:lastModifiedBy>。</cp:lastModifiedBy>
  <dcterms:modified xsi:type="dcterms:W3CDTF">2026-05-15T11:58:09Z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CE15687CBB0CA115E693066AA400009F_41</vt:lpwstr>
  </property>
</Properties>
</file>